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1C6945F8" w:rsidR="00CD5A5C" w:rsidRDefault="00B047F9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7EDDB74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1603" w14:textId="5B63BD7D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2E843A72" w14:textId="25F7DF3A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372CA3">
          <w:headerReference w:type="even" r:id="rId9"/>
          <w:headerReference w:type="default" r:id="rId10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427231F6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1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57876E99" w:rsidR="00D442C1" w:rsidRDefault="002B7592" w:rsidP="00C4501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8A098C" w:rsidRPr="008A098C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8A098C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8A098C" w:rsidRPr="008A098C">
        <w:rPr>
          <w:rFonts w:asciiTheme="minorHAnsi" w:hAnsiTheme="minorHAnsi" w:cstheme="minorHAnsi"/>
          <w:b/>
          <w:bCs/>
          <w:sz w:val="24"/>
          <w:szCs w:val="24"/>
        </w:rPr>
        <w:t xml:space="preserve"> zákona, kterým se mění zákon č. 119/2002 Sb., o střelných zbraních a střelivu (zákon o zbraních), ve znění pozdějších předpisů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1EFFCDB8" w14:textId="77777777" w:rsidR="00843B66" w:rsidRPr="004832B7" w:rsidRDefault="00843B66" w:rsidP="00F42A3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4A122519" w14:textId="0291FCA7" w:rsidR="004A79D9" w:rsidRPr="00FC5A71" w:rsidRDefault="004A79D9" w:rsidP="00F42A36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C5A71">
        <w:rPr>
          <w:rFonts w:asciiTheme="minorHAnsi" w:hAnsiTheme="minorHAnsi" w:cstheme="minorHAnsi"/>
          <w:b/>
          <w:bCs/>
          <w:sz w:val="24"/>
          <w:szCs w:val="24"/>
        </w:rPr>
        <w:t>V rámci mezirezortního připomínkového řízení jsme obdrželi výše uvedený návrh a k tomuto Konfederace zaměstnavatelských a podnikatelských svazů ČR (KZPS ČR) uplatňuje následující připomínky:</w:t>
      </w:r>
    </w:p>
    <w:p w14:paraId="352603A1" w14:textId="77777777" w:rsidR="004A79D9" w:rsidRPr="00FC5A71" w:rsidRDefault="004A79D9" w:rsidP="00F42A36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1A73CE7" w14:textId="77777777" w:rsidR="00905790" w:rsidRPr="009B09CD" w:rsidRDefault="00905790" w:rsidP="00905790">
      <w:pPr>
        <w:jc w:val="both"/>
        <w:rPr>
          <w:rFonts w:asciiTheme="minorHAnsi" w:hAnsiTheme="minorHAnsi" w:cstheme="minorHAnsi"/>
          <w:b/>
          <w:color w:val="1F497D"/>
          <w:sz w:val="24"/>
          <w:szCs w:val="24"/>
          <w:u w:val="single"/>
        </w:rPr>
      </w:pPr>
    </w:p>
    <w:p w14:paraId="37D852E5" w14:textId="62BCE8E6" w:rsidR="00905790" w:rsidRPr="009B09CD" w:rsidRDefault="00905790" w:rsidP="00905790">
      <w:pPr>
        <w:jc w:val="both"/>
        <w:rPr>
          <w:rFonts w:asciiTheme="minorHAnsi" w:hAnsiTheme="minorHAnsi" w:cstheme="minorHAnsi"/>
          <w:b/>
          <w:color w:val="1F497D"/>
          <w:sz w:val="24"/>
          <w:szCs w:val="24"/>
          <w:u w:val="single"/>
        </w:rPr>
      </w:pPr>
      <w:r w:rsidRPr="009B09CD">
        <w:rPr>
          <w:rFonts w:asciiTheme="minorHAnsi" w:hAnsiTheme="minorHAnsi" w:cstheme="minorHAnsi"/>
          <w:b/>
          <w:color w:val="1F497D"/>
          <w:sz w:val="24"/>
          <w:szCs w:val="24"/>
          <w:u w:val="single"/>
        </w:rPr>
        <w:t xml:space="preserve">I. </w:t>
      </w:r>
      <w:r w:rsidR="009B09CD">
        <w:rPr>
          <w:rFonts w:asciiTheme="minorHAnsi" w:hAnsiTheme="minorHAnsi" w:cstheme="minorHAnsi"/>
          <w:b/>
          <w:color w:val="1F497D"/>
          <w:sz w:val="24"/>
          <w:szCs w:val="24"/>
          <w:u w:val="single"/>
        </w:rPr>
        <w:t>O</w:t>
      </w:r>
      <w:r w:rsidRPr="009B09CD">
        <w:rPr>
          <w:rFonts w:asciiTheme="minorHAnsi" w:hAnsiTheme="minorHAnsi" w:cstheme="minorHAnsi"/>
          <w:b/>
          <w:color w:val="1F497D"/>
          <w:sz w:val="24"/>
          <w:szCs w:val="24"/>
          <w:u w:val="single"/>
        </w:rPr>
        <w:t>becně</w:t>
      </w:r>
    </w:p>
    <w:p w14:paraId="00F0E11B" w14:textId="77777777" w:rsidR="00905790" w:rsidRPr="00905790" w:rsidRDefault="00905790" w:rsidP="00905790">
      <w:pPr>
        <w:jc w:val="both"/>
        <w:rPr>
          <w:rFonts w:asciiTheme="minorHAnsi" w:hAnsiTheme="minorHAnsi" w:cstheme="minorHAnsi"/>
          <w:b/>
          <w:color w:val="1F497D"/>
          <w:sz w:val="24"/>
          <w:szCs w:val="24"/>
        </w:rPr>
      </w:pPr>
    </w:p>
    <w:p w14:paraId="33F867FB" w14:textId="1F58711D" w:rsidR="00905790" w:rsidRPr="00905790" w:rsidRDefault="00905790" w:rsidP="00905790">
      <w:pPr>
        <w:jc w:val="both"/>
        <w:rPr>
          <w:rFonts w:asciiTheme="minorHAnsi" w:hAnsiTheme="minorHAnsi" w:cstheme="minorHAnsi"/>
          <w:b/>
          <w:color w:val="1F497D"/>
          <w:sz w:val="24"/>
          <w:szCs w:val="24"/>
        </w:rPr>
      </w:pPr>
      <w:r w:rsidRPr="00905790">
        <w:rPr>
          <w:rFonts w:asciiTheme="minorHAnsi" w:hAnsiTheme="minorHAnsi" w:cstheme="minorHAnsi"/>
          <w:b/>
          <w:color w:val="1F497D"/>
          <w:sz w:val="24"/>
          <w:szCs w:val="24"/>
        </w:rPr>
        <w:t>Text návrhu, jeho úroveň,</w:t>
      </w:r>
      <w:r w:rsidR="009B09CD">
        <w:rPr>
          <w:rFonts w:asciiTheme="minorHAnsi" w:hAnsiTheme="minorHAnsi" w:cstheme="minorHAnsi"/>
          <w:b/>
          <w:color w:val="1F497D"/>
          <w:sz w:val="24"/>
          <w:szCs w:val="24"/>
        </w:rPr>
        <w:t xml:space="preserve"> </w:t>
      </w:r>
      <w:r w:rsidRPr="00905790">
        <w:rPr>
          <w:rFonts w:asciiTheme="minorHAnsi" w:hAnsiTheme="minorHAnsi" w:cstheme="minorHAnsi"/>
          <w:b/>
          <w:color w:val="1F497D"/>
          <w:sz w:val="24"/>
          <w:szCs w:val="24"/>
        </w:rPr>
        <w:t xml:space="preserve">je velmi překvapivá. Oborná veřejnost si dosud vysoce cenila kvality návrhů předkládaných   legislativních norem ze strany MV ČR pro oblast civilních zbraní a střeliva, kdy odůvodněné výhrady (připomínky) bylo možno vznášet jen k velmi malé části předkládaných textů. Bohužel, předkladatel tímto návrhem tuto </w:t>
      </w:r>
      <w:proofErr w:type="gramStart"/>
      <w:r w:rsidRPr="00905790">
        <w:rPr>
          <w:rFonts w:asciiTheme="minorHAnsi" w:hAnsiTheme="minorHAnsi" w:cstheme="minorHAnsi"/>
          <w:b/>
          <w:color w:val="1F497D"/>
          <w:sz w:val="24"/>
          <w:szCs w:val="24"/>
        </w:rPr>
        <w:t>dosavadní  cestu</w:t>
      </w:r>
      <w:proofErr w:type="gramEnd"/>
      <w:r w:rsidRPr="00905790">
        <w:rPr>
          <w:rFonts w:asciiTheme="minorHAnsi" w:hAnsiTheme="minorHAnsi" w:cstheme="minorHAnsi"/>
          <w:b/>
          <w:color w:val="1F497D"/>
          <w:sz w:val="24"/>
          <w:szCs w:val="24"/>
        </w:rPr>
        <w:t xml:space="preserve"> opustil,  oba dva body (ale reálně jde o body tři, počítáme-li rozšíření ustanovení o přestupcích),  návrhu jsou zcela špatně jak legislativně tak věcně. I odůvodnění návrhu v důvodové zprávě je nesprávné, pokud odkazuje na tragickou událost na FFUK, avšak do dnešního dne nejsou uvolněny informace k motivům a způsobu jednání pachatele a není předložena analýza, zda došlo k nějakému systémovému selhání, k selhání jednotlivců či zda nebylo možno událost odvrátit nebo zmírnit její následky jinak. Za této situace není odpovědné předkládat jakékoli legislativní návrhy včetně těchto aktivistických či populistických. </w:t>
      </w:r>
    </w:p>
    <w:p w14:paraId="5BB9D13D" w14:textId="26CC68CE" w:rsidR="00905790" w:rsidRPr="00905790" w:rsidRDefault="00905790" w:rsidP="00905790">
      <w:pPr>
        <w:jc w:val="both"/>
        <w:rPr>
          <w:rFonts w:asciiTheme="minorHAnsi" w:hAnsiTheme="minorHAnsi" w:cstheme="minorHAnsi"/>
          <w:b/>
          <w:color w:val="1F497D"/>
          <w:sz w:val="24"/>
          <w:szCs w:val="24"/>
        </w:rPr>
      </w:pPr>
      <w:r w:rsidRPr="00905790">
        <w:rPr>
          <w:rFonts w:asciiTheme="minorHAnsi" w:hAnsiTheme="minorHAnsi" w:cstheme="minorHAnsi"/>
          <w:b/>
          <w:color w:val="1F497D"/>
          <w:sz w:val="24"/>
          <w:szCs w:val="24"/>
        </w:rPr>
        <w:t xml:space="preserve">Odkaz v důvodové zprávě na skutečnost, že oba předložené body </w:t>
      </w:r>
      <w:proofErr w:type="gramStart"/>
      <w:r w:rsidRPr="00905790">
        <w:rPr>
          <w:rFonts w:asciiTheme="minorHAnsi" w:hAnsiTheme="minorHAnsi" w:cstheme="minorHAnsi"/>
          <w:b/>
          <w:color w:val="1F497D"/>
          <w:sz w:val="24"/>
          <w:szCs w:val="24"/>
        </w:rPr>
        <w:t>jsou  v</w:t>
      </w:r>
      <w:proofErr w:type="gramEnd"/>
      <w:r w:rsidRPr="00905790">
        <w:rPr>
          <w:rFonts w:asciiTheme="minorHAnsi" w:hAnsiTheme="minorHAnsi" w:cstheme="minorHAnsi"/>
          <w:b/>
          <w:color w:val="1F497D"/>
          <w:sz w:val="24"/>
          <w:szCs w:val="24"/>
        </w:rPr>
        <w:t xml:space="preserve"> trochu odlišné podobě součástí nového zákona o zbraních a střelivu pak je jen důrazným  upozorněním na to, že  nový zákon o zbraních a střelivu  je nutno novelizovat ještě před jeho vstupem v účinnost.</w:t>
      </w:r>
    </w:p>
    <w:p w14:paraId="029CFA53" w14:textId="26A25CE0" w:rsidR="00905790" w:rsidRPr="00905790" w:rsidRDefault="00905790" w:rsidP="00905790">
      <w:pPr>
        <w:jc w:val="both"/>
        <w:rPr>
          <w:rFonts w:asciiTheme="minorHAnsi" w:hAnsiTheme="minorHAnsi" w:cstheme="minorHAnsi"/>
          <w:b/>
          <w:color w:val="1F497D"/>
          <w:sz w:val="24"/>
          <w:szCs w:val="24"/>
        </w:rPr>
      </w:pPr>
      <w:r w:rsidRPr="00905790">
        <w:rPr>
          <w:rFonts w:asciiTheme="minorHAnsi" w:hAnsiTheme="minorHAnsi" w:cstheme="minorHAnsi"/>
          <w:b/>
          <w:color w:val="1F497D"/>
          <w:sz w:val="24"/>
          <w:szCs w:val="24"/>
        </w:rPr>
        <w:t>Nelze</w:t>
      </w:r>
      <w:r w:rsidR="001C6B4A">
        <w:rPr>
          <w:rFonts w:asciiTheme="minorHAnsi" w:hAnsiTheme="minorHAnsi" w:cstheme="minorHAnsi"/>
          <w:b/>
          <w:color w:val="1F497D"/>
          <w:sz w:val="24"/>
          <w:szCs w:val="24"/>
        </w:rPr>
        <w:t xml:space="preserve"> </w:t>
      </w:r>
      <w:proofErr w:type="gramStart"/>
      <w:r w:rsidRPr="00905790">
        <w:rPr>
          <w:rFonts w:asciiTheme="minorHAnsi" w:hAnsiTheme="minorHAnsi" w:cstheme="minorHAnsi"/>
          <w:b/>
          <w:color w:val="1F497D"/>
          <w:sz w:val="24"/>
          <w:szCs w:val="24"/>
        </w:rPr>
        <w:t>jinak,</w:t>
      </w:r>
      <w:proofErr w:type="gramEnd"/>
      <w:r w:rsidRPr="00905790">
        <w:rPr>
          <w:rFonts w:asciiTheme="minorHAnsi" w:hAnsiTheme="minorHAnsi" w:cstheme="minorHAnsi"/>
          <w:b/>
          <w:color w:val="1F497D"/>
          <w:sz w:val="24"/>
          <w:szCs w:val="24"/>
        </w:rPr>
        <w:t xml:space="preserve"> než požádat, aby tento návrh byl vrácen k celkovému přepracování. Tato připomínka je zcela zásadní. </w:t>
      </w:r>
    </w:p>
    <w:p w14:paraId="5B3C0630" w14:textId="77777777" w:rsidR="00905790" w:rsidRDefault="00905790" w:rsidP="00905790">
      <w:pPr>
        <w:jc w:val="both"/>
        <w:rPr>
          <w:rFonts w:asciiTheme="minorHAnsi" w:hAnsiTheme="minorHAnsi" w:cstheme="minorHAnsi"/>
          <w:b/>
          <w:color w:val="1F497D"/>
          <w:sz w:val="24"/>
          <w:szCs w:val="24"/>
        </w:rPr>
      </w:pPr>
    </w:p>
    <w:p w14:paraId="316BE201" w14:textId="77777777" w:rsidR="001C6B4A" w:rsidRPr="00905790" w:rsidRDefault="001C6B4A" w:rsidP="00905790">
      <w:pPr>
        <w:jc w:val="both"/>
        <w:rPr>
          <w:rFonts w:asciiTheme="minorHAnsi" w:hAnsiTheme="minorHAnsi" w:cstheme="minorHAnsi"/>
          <w:b/>
          <w:color w:val="1F497D"/>
          <w:sz w:val="24"/>
          <w:szCs w:val="24"/>
        </w:rPr>
      </w:pPr>
    </w:p>
    <w:p w14:paraId="28C63695" w14:textId="54344A49" w:rsidR="00905790" w:rsidRPr="001C6B4A" w:rsidRDefault="00905790" w:rsidP="00905790">
      <w:pPr>
        <w:jc w:val="both"/>
        <w:rPr>
          <w:rFonts w:asciiTheme="minorHAnsi" w:hAnsiTheme="minorHAnsi" w:cstheme="minorHAnsi"/>
          <w:b/>
          <w:color w:val="1F497D"/>
          <w:sz w:val="24"/>
          <w:szCs w:val="24"/>
          <w:u w:val="single"/>
        </w:rPr>
      </w:pPr>
      <w:r w:rsidRPr="001C6B4A">
        <w:rPr>
          <w:rFonts w:asciiTheme="minorHAnsi" w:hAnsiTheme="minorHAnsi" w:cstheme="minorHAnsi"/>
          <w:b/>
          <w:color w:val="1F497D"/>
          <w:sz w:val="24"/>
          <w:szCs w:val="24"/>
          <w:u w:val="single"/>
        </w:rPr>
        <w:t xml:space="preserve">II. </w:t>
      </w:r>
      <w:r w:rsidR="001D6A49">
        <w:rPr>
          <w:rFonts w:asciiTheme="minorHAnsi" w:hAnsiTheme="minorHAnsi" w:cstheme="minorHAnsi"/>
          <w:b/>
          <w:color w:val="1F497D"/>
          <w:sz w:val="24"/>
          <w:szCs w:val="24"/>
          <w:u w:val="single"/>
        </w:rPr>
        <w:t>K</w:t>
      </w:r>
      <w:r w:rsidRPr="001C6B4A">
        <w:rPr>
          <w:rFonts w:asciiTheme="minorHAnsi" w:hAnsiTheme="minorHAnsi" w:cstheme="minorHAnsi"/>
          <w:b/>
          <w:color w:val="1F497D"/>
          <w:sz w:val="24"/>
          <w:szCs w:val="24"/>
          <w:u w:val="single"/>
        </w:rPr>
        <w:t xml:space="preserve">onkrétně </w:t>
      </w:r>
    </w:p>
    <w:p w14:paraId="5728C61F" w14:textId="77777777" w:rsidR="00905790" w:rsidRPr="00905790" w:rsidRDefault="00905790" w:rsidP="00905790">
      <w:pPr>
        <w:jc w:val="both"/>
        <w:rPr>
          <w:rFonts w:asciiTheme="minorHAnsi" w:hAnsiTheme="minorHAnsi" w:cstheme="minorHAnsi"/>
          <w:b/>
          <w:color w:val="1F497D"/>
          <w:sz w:val="24"/>
          <w:szCs w:val="24"/>
        </w:rPr>
      </w:pPr>
    </w:p>
    <w:p w14:paraId="524584DA" w14:textId="77777777" w:rsidR="00905790" w:rsidRPr="00905790" w:rsidRDefault="00905790" w:rsidP="00905790">
      <w:pPr>
        <w:jc w:val="both"/>
        <w:rPr>
          <w:rFonts w:asciiTheme="minorHAnsi" w:hAnsiTheme="minorHAnsi" w:cstheme="minorHAnsi"/>
          <w:b/>
          <w:color w:val="1F497D"/>
          <w:sz w:val="24"/>
          <w:szCs w:val="24"/>
        </w:rPr>
      </w:pPr>
      <w:r w:rsidRPr="00905790">
        <w:rPr>
          <w:rFonts w:asciiTheme="minorHAnsi" w:hAnsiTheme="minorHAnsi" w:cstheme="minorHAnsi"/>
          <w:b/>
          <w:color w:val="1F497D"/>
          <w:sz w:val="24"/>
          <w:szCs w:val="24"/>
        </w:rPr>
        <w:t>k bodu 1 - § 39, doplnění odst. 6 ve znění:</w:t>
      </w:r>
    </w:p>
    <w:p w14:paraId="5006871F" w14:textId="77777777" w:rsidR="00905790" w:rsidRPr="00905790" w:rsidRDefault="00905790" w:rsidP="00905790">
      <w:pPr>
        <w:jc w:val="both"/>
        <w:rPr>
          <w:rFonts w:asciiTheme="minorHAnsi" w:hAnsiTheme="minorHAnsi" w:cstheme="minorHAnsi"/>
          <w:b/>
          <w:color w:val="1F497D"/>
          <w:sz w:val="24"/>
          <w:szCs w:val="24"/>
        </w:rPr>
      </w:pPr>
      <w:r w:rsidRPr="00905790">
        <w:rPr>
          <w:rFonts w:asciiTheme="minorHAnsi" w:hAnsiTheme="minorHAnsi" w:cstheme="minorHAnsi"/>
          <w:b/>
          <w:color w:val="1F497D"/>
          <w:sz w:val="24"/>
          <w:szCs w:val="24"/>
        </w:rPr>
        <w:t>„(6) Držitel zbrojní licence, který je podnikatelem v oboru zbraní a střeliva, oznámí policii převod zbraně nebo střeliva nebo právní jednání směřující k takovému převodu, které důvodně považuje za podezřelé.“.</w:t>
      </w:r>
    </w:p>
    <w:p w14:paraId="257A87A1" w14:textId="77777777" w:rsidR="00905790" w:rsidRPr="00905790" w:rsidRDefault="00905790" w:rsidP="00905790">
      <w:pPr>
        <w:jc w:val="both"/>
        <w:rPr>
          <w:rFonts w:asciiTheme="minorHAnsi" w:hAnsiTheme="minorHAnsi" w:cstheme="minorHAnsi"/>
          <w:b/>
          <w:color w:val="1F497D"/>
          <w:sz w:val="24"/>
          <w:szCs w:val="24"/>
        </w:rPr>
      </w:pPr>
      <w:r w:rsidRPr="00905790">
        <w:rPr>
          <w:rFonts w:asciiTheme="minorHAnsi" w:hAnsiTheme="minorHAnsi" w:cstheme="minorHAnsi"/>
          <w:b/>
          <w:color w:val="1F497D"/>
          <w:sz w:val="24"/>
          <w:szCs w:val="24"/>
        </w:rPr>
        <w:t>v kontextu s bodem 3 - § 76d, doplnění odst. 7 ve znění:</w:t>
      </w:r>
    </w:p>
    <w:p w14:paraId="68B1FD62" w14:textId="77777777" w:rsidR="00905790" w:rsidRPr="00905790" w:rsidRDefault="00905790" w:rsidP="00905790">
      <w:pPr>
        <w:jc w:val="both"/>
        <w:rPr>
          <w:rFonts w:asciiTheme="minorHAnsi" w:hAnsiTheme="minorHAnsi" w:cstheme="minorHAnsi"/>
          <w:b/>
          <w:color w:val="1F497D"/>
          <w:sz w:val="24"/>
          <w:szCs w:val="24"/>
        </w:rPr>
      </w:pPr>
      <w:r w:rsidRPr="00905790">
        <w:rPr>
          <w:rFonts w:asciiTheme="minorHAnsi" w:hAnsiTheme="minorHAnsi" w:cstheme="minorHAnsi"/>
          <w:b/>
          <w:color w:val="1F497D"/>
          <w:sz w:val="24"/>
          <w:szCs w:val="24"/>
        </w:rPr>
        <w:t>„(7) Držitel zbrojní licence se dopustí přestupku, pokud neprovede oznámení podle § 39 odst. 6.“.</w:t>
      </w:r>
    </w:p>
    <w:p w14:paraId="6C0DE76A" w14:textId="58F60754" w:rsidR="00905790" w:rsidRPr="00905790" w:rsidRDefault="00905790" w:rsidP="00905790">
      <w:pPr>
        <w:jc w:val="both"/>
        <w:rPr>
          <w:rFonts w:asciiTheme="minorHAnsi" w:hAnsiTheme="minorHAnsi" w:cstheme="minorHAnsi"/>
          <w:b/>
          <w:color w:val="1F497D"/>
          <w:sz w:val="24"/>
          <w:szCs w:val="24"/>
        </w:rPr>
      </w:pPr>
      <w:r w:rsidRPr="00905790">
        <w:rPr>
          <w:rFonts w:asciiTheme="minorHAnsi" w:hAnsiTheme="minorHAnsi" w:cstheme="minorHAnsi"/>
          <w:b/>
          <w:color w:val="1F497D"/>
          <w:sz w:val="24"/>
          <w:szCs w:val="24"/>
        </w:rPr>
        <w:lastRenderedPageBreak/>
        <w:t xml:space="preserve">Návrh je naprosto neakceptovatelný.  Po držiteli licence je požadováno pod hrozbou postihu za přestupek jednání, aby oznamoval obchodní aktivity v oblasti zbraní a střeliva, které považuje za "důvodně podezřelé". Ona "důvodnost podezření" je plně ponechána na subjektivním posouzení držitele licence, není zpracována žádná </w:t>
      </w:r>
      <w:proofErr w:type="gramStart"/>
      <w:r w:rsidRPr="00905790">
        <w:rPr>
          <w:rFonts w:asciiTheme="minorHAnsi" w:hAnsiTheme="minorHAnsi" w:cstheme="minorHAnsi"/>
          <w:b/>
          <w:color w:val="1F497D"/>
          <w:sz w:val="24"/>
          <w:szCs w:val="24"/>
        </w:rPr>
        <w:t>sjednocující  metodika</w:t>
      </w:r>
      <w:proofErr w:type="gramEnd"/>
      <w:r w:rsidRPr="00905790">
        <w:rPr>
          <w:rFonts w:asciiTheme="minorHAnsi" w:hAnsiTheme="minorHAnsi" w:cstheme="minorHAnsi"/>
          <w:b/>
          <w:color w:val="1F497D"/>
          <w:sz w:val="24"/>
          <w:szCs w:val="24"/>
        </w:rPr>
        <w:t xml:space="preserve"> nebo pravidla jaká jednání má držitel licence považovat za podezřelá a jaká ne.  Návrh ani nepočítá s možným vznikem podzákonných norem (chybí zmocnění).  S ohledem na ustanovení § 10, zák. č. 250/2016 Sb. a nekvalitu tohoto návrhu, pokud  držitel licence nebude chtít riskovat správní postih za přestupek (který má vliv na jeho spolehlivost!), případně vést několikaleté soudní spory o tomto správním postihu (a tím i o  zlikvidování svého podnikání)  bude nucen hlásit každý jednotlivý obchod s kýmkoli jako "podezřelým", neboť při absenci definice "podezřelého jednání" může správní orgán považovat za podezřelé jakékoli jednání (obchod), které někdy v budoucnu skončí excesem (někdo koupí diabolky a  vystřelí s nimi někomu okno). Zahlcení a kolaps systému jistě ale nebyly cílem předloženého návrhu. </w:t>
      </w:r>
    </w:p>
    <w:p w14:paraId="6C73C0BF" w14:textId="7FD27EBB" w:rsidR="00905790" w:rsidRPr="00905790" w:rsidRDefault="00905790" w:rsidP="00905790">
      <w:pPr>
        <w:jc w:val="both"/>
        <w:rPr>
          <w:rFonts w:asciiTheme="minorHAnsi" w:hAnsiTheme="minorHAnsi" w:cstheme="minorHAnsi"/>
          <w:b/>
          <w:color w:val="1F497D"/>
          <w:sz w:val="24"/>
          <w:szCs w:val="24"/>
        </w:rPr>
      </w:pPr>
      <w:r w:rsidRPr="00905790">
        <w:rPr>
          <w:rFonts w:asciiTheme="minorHAnsi" w:hAnsiTheme="minorHAnsi" w:cstheme="minorHAnsi"/>
          <w:b/>
          <w:color w:val="1F497D"/>
          <w:sz w:val="24"/>
          <w:szCs w:val="24"/>
        </w:rPr>
        <w:t xml:space="preserve">Předkladatel se zde zjevně inspiroval problematikou a řešeními v rámci AML. Dlužno </w:t>
      </w:r>
      <w:proofErr w:type="gramStart"/>
      <w:r w:rsidRPr="00905790">
        <w:rPr>
          <w:rFonts w:asciiTheme="minorHAnsi" w:hAnsiTheme="minorHAnsi" w:cstheme="minorHAnsi"/>
          <w:b/>
          <w:color w:val="1F497D"/>
          <w:sz w:val="24"/>
          <w:szCs w:val="24"/>
        </w:rPr>
        <w:t>říci</w:t>
      </w:r>
      <w:proofErr w:type="gramEnd"/>
      <w:r w:rsidRPr="00905790">
        <w:rPr>
          <w:rFonts w:asciiTheme="minorHAnsi" w:hAnsiTheme="minorHAnsi" w:cstheme="minorHAnsi"/>
          <w:b/>
          <w:color w:val="1F497D"/>
          <w:sz w:val="24"/>
          <w:szCs w:val="24"/>
        </w:rPr>
        <w:t>, že identifikace</w:t>
      </w:r>
      <w:r w:rsidR="007C6E49">
        <w:rPr>
          <w:rFonts w:asciiTheme="minorHAnsi" w:hAnsiTheme="minorHAnsi" w:cstheme="minorHAnsi"/>
          <w:b/>
          <w:color w:val="1F497D"/>
          <w:sz w:val="24"/>
          <w:szCs w:val="24"/>
        </w:rPr>
        <w:t xml:space="preserve"> </w:t>
      </w:r>
      <w:r w:rsidRPr="00905790">
        <w:rPr>
          <w:rFonts w:asciiTheme="minorHAnsi" w:hAnsiTheme="minorHAnsi" w:cstheme="minorHAnsi"/>
          <w:b/>
          <w:color w:val="1F497D"/>
          <w:sz w:val="24"/>
          <w:szCs w:val="24"/>
        </w:rPr>
        <w:t>neobvyklého obchodu v rámci finančních institucí je</w:t>
      </w:r>
      <w:r w:rsidR="004401B4">
        <w:rPr>
          <w:rFonts w:asciiTheme="minorHAnsi" w:hAnsiTheme="minorHAnsi" w:cstheme="minorHAnsi"/>
          <w:b/>
          <w:color w:val="1F497D"/>
          <w:sz w:val="24"/>
          <w:szCs w:val="24"/>
        </w:rPr>
        <w:t xml:space="preserve"> </w:t>
      </w:r>
      <w:r w:rsidRPr="00905790">
        <w:rPr>
          <w:rFonts w:asciiTheme="minorHAnsi" w:hAnsiTheme="minorHAnsi" w:cstheme="minorHAnsi"/>
          <w:b/>
          <w:color w:val="1F497D"/>
          <w:sz w:val="24"/>
          <w:szCs w:val="24"/>
        </w:rPr>
        <w:t>jednodušší než identifikace podezřelého obchodu v oblasti zbraní a střeliva už tím, že k finanční instituci je klient zpravidla smluvně vázán. Problematika AML je důsledně zpracovávána více jak 30 let, kromě legislativy (směrnice, zákon, podzákonné normy) je zpracována řada metodik (KYC apod.) a přesto systém nefunguje dobře a selhává (viz Ukrajinské peníze v Podnikatelské družstevní záložně).</w:t>
      </w:r>
    </w:p>
    <w:p w14:paraId="2FB64750" w14:textId="17209F74" w:rsidR="00905790" w:rsidRPr="00905790" w:rsidRDefault="00905790" w:rsidP="00905790">
      <w:pPr>
        <w:jc w:val="both"/>
        <w:rPr>
          <w:rFonts w:asciiTheme="minorHAnsi" w:hAnsiTheme="minorHAnsi" w:cstheme="minorHAnsi"/>
          <w:b/>
          <w:color w:val="1F497D"/>
          <w:sz w:val="24"/>
          <w:szCs w:val="24"/>
        </w:rPr>
      </w:pPr>
      <w:r w:rsidRPr="00905790">
        <w:rPr>
          <w:rFonts w:asciiTheme="minorHAnsi" w:hAnsiTheme="minorHAnsi" w:cstheme="minorHAnsi"/>
          <w:b/>
          <w:color w:val="1F497D"/>
          <w:sz w:val="24"/>
          <w:szCs w:val="24"/>
        </w:rPr>
        <w:t xml:space="preserve">Pokud předkladatel vidí potřebu problematiku oznamování podezřelého obchodu v zákoně č. 119/2002 Sb. řešit, je třeba nejdříve ve spolupráci s odbornou veřejností vypracovat potřebnou metodiku pro identifikaci takového obchodu a stanovit postup </w:t>
      </w:r>
      <w:proofErr w:type="gramStart"/>
      <w:r w:rsidRPr="00905790">
        <w:rPr>
          <w:rFonts w:asciiTheme="minorHAnsi" w:hAnsiTheme="minorHAnsi" w:cstheme="minorHAnsi"/>
          <w:b/>
          <w:color w:val="1F497D"/>
          <w:sz w:val="24"/>
          <w:szCs w:val="24"/>
        </w:rPr>
        <w:t>držitele  licence</w:t>
      </w:r>
      <w:proofErr w:type="gramEnd"/>
      <w:r w:rsidRPr="00905790">
        <w:rPr>
          <w:rFonts w:asciiTheme="minorHAnsi" w:hAnsiTheme="minorHAnsi" w:cstheme="minorHAnsi"/>
          <w:b/>
          <w:color w:val="1F497D"/>
          <w:sz w:val="24"/>
          <w:szCs w:val="24"/>
        </w:rPr>
        <w:t xml:space="preserve"> pro ten který  typ podezřelého jednání (například i stanovit  okruh jednání a okolností, kdy držitel licence požadovanou transakci neprovede).  Nelze ovšem vyloučit, že po odborné diskusi dojde komise k závěru, že vyjma zjevných situací, kdy zákazník (klient, obchodní partner) bude pod vlivem alkoholu, drog nebo zjevně duševně nemocný takovou metodiku sestavit lze jen velmi problematicky. Samozřejmě, výše uvedené platí i pro text poslanci a senátory nově schváleného zákona o zbraních a střelivu (</w:t>
      </w:r>
      <w:proofErr w:type="spellStart"/>
      <w:r w:rsidRPr="00905790">
        <w:rPr>
          <w:rFonts w:asciiTheme="minorHAnsi" w:hAnsiTheme="minorHAnsi" w:cstheme="minorHAnsi"/>
          <w:b/>
          <w:color w:val="1F497D"/>
          <w:sz w:val="24"/>
          <w:szCs w:val="24"/>
        </w:rPr>
        <w:t>nZOZ</w:t>
      </w:r>
      <w:proofErr w:type="spellEnd"/>
      <w:r w:rsidRPr="00905790">
        <w:rPr>
          <w:rFonts w:asciiTheme="minorHAnsi" w:hAnsiTheme="minorHAnsi" w:cstheme="minorHAnsi"/>
          <w:b/>
          <w:color w:val="1F497D"/>
          <w:sz w:val="24"/>
          <w:szCs w:val="24"/>
        </w:rPr>
        <w:t>), který považujeme za kvalitní právní přepis, vyjma několika konkrétních nedostatků, toto je jeden z nich, nelze než touto cestou předkladatele vyzvat, aby zahájil legislativní proces jeho novely před vstupem v účinnost ve smyslu výše uvedených zásad.</w:t>
      </w:r>
    </w:p>
    <w:p w14:paraId="7EDA9F80" w14:textId="77777777" w:rsidR="00905790" w:rsidRPr="00905790" w:rsidRDefault="00905790" w:rsidP="00905790">
      <w:pPr>
        <w:jc w:val="both"/>
        <w:rPr>
          <w:rFonts w:asciiTheme="minorHAnsi" w:hAnsiTheme="minorHAnsi" w:cstheme="minorHAnsi"/>
          <w:b/>
          <w:color w:val="1F497D"/>
          <w:sz w:val="24"/>
          <w:szCs w:val="24"/>
        </w:rPr>
      </w:pPr>
    </w:p>
    <w:p w14:paraId="2425F0BB" w14:textId="73CC51CC" w:rsidR="00905790" w:rsidRPr="00905790" w:rsidRDefault="00905790" w:rsidP="00905790">
      <w:pPr>
        <w:jc w:val="both"/>
        <w:rPr>
          <w:rFonts w:asciiTheme="minorHAnsi" w:hAnsiTheme="minorHAnsi" w:cstheme="minorHAnsi"/>
          <w:b/>
          <w:color w:val="1F497D"/>
          <w:sz w:val="24"/>
          <w:szCs w:val="24"/>
        </w:rPr>
      </w:pPr>
      <w:r w:rsidRPr="00905790">
        <w:rPr>
          <w:rFonts w:asciiTheme="minorHAnsi" w:hAnsiTheme="minorHAnsi" w:cstheme="minorHAnsi"/>
          <w:b/>
          <w:color w:val="1F497D"/>
          <w:sz w:val="24"/>
          <w:szCs w:val="24"/>
        </w:rPr>
        <w:t>k bodu 2, změna znění § 57, odst</w:t>
      </w:r>
      <w:r w:rsidR="004401B4">
        <w:rPr>
          <w:rFonts w:asciiTheme="minorHAnsi" w:hAnsiTheme="minorHAnsi" w:cstheme="minorHAnsi"/>
          <w:b/>
          <w:color w:val="1F497D"/>
          <w:sz w:val="24"/>
          <w:szCs w:val="24"/>
        </w:rPr>
        <w:t>.</w:t>
      </w:r>
      <w:r w:rsidRPr="00905790">
        <w:rPr>
          <w:rFonts w:asciiTheme="minorHAnsi" w:hAnsiTheme="minorHAnsi" w:cstheme="minorHAnsi"/>
          <w:b/>
          <w:color w:val="1F497D"/>
          <w:sz w:val="24"/>
          <w:szCs w:val="24"/>
        </w:rPr>
        <w:t xml:space="preserve"> 2 takto: </w:t>
      </w:r>
    </w:p>
    <w:p w14:paraId="5E90F9E4" w14:textId="77777777" w:rsidR="00905790" w:rsidRPr="00905790" w:rsidRDefault="00905790" w:rsidP="00905790">
      <w:pPr>
        <w:jc w:val="both"/>
        <w:rPr>
          <w:rFonts w:asciiTheme="minorHAnsi" w:hAnsiTheme="minorHAnsi" w:cstheme="minorHAnsi"/>
          <w:b/>
          <w:color w:val="1F497D"/>
          <w:sz w:val="24"/>
          <w:szCs w:val="24"/>
        </w:rPr>
      </w:pPr>
      <w:r w:rsidRPr="00905790">
        <w:rPr>
          <w:rFonts w:asciiTheme="minorHAnsi" w:hAnsiTheme="minorHAnsi" w:cstheme="minorHAnsi"/>
          <w:b/>
          <w:color w:val="1F497D"/>
          <w:sz w:val="24"/>
          <w:szCs w:val="24"/>
        </w:rPr>
        <w:t>„(2) Příslušný útvar policie může rozhodnout o zajištění zbraně kategorie A, A-I, B, C, C-I nebo D, střeliva, černého loveckého prachu, bezdýmného prachu, zápalek, zbrojního průkazu, zbrojní licence, průkazu zbraně, zbrojního průvodního listu pro trvalý vývoz, trvalý dovoz nebo tranzit zbraní nebo střeliva, povolení k vývozu podle zákona o kontrole obchodu s výrobky, jejichž držení se v České republice omezuje z bezpečnostních důvodů, evropského zbrojního pasu, povolení k přepravě nebo hlášení přepravy zbraní a střeliva podle § 50 nebo 50a,</w:t>
      </w:r>
    </w:p>
    <w:p w14:paraId="7ACF965D" w14:textId="77777777" w:rsidR="00905790" w:rsidRPr="00905790" w:rsidRDefault="00905790" w:rsidP="00905790">
      <w:pPr>
        <w:jc w:val="both"/>
        <w:rPr>
          <w:rFonts w:asciiTheme="minorHAnsi" w:hAnsiTheme="minorHAnsi" w:cstheme="minorHAnsi"/>
          <w:b/>
          <w:color w:val="1F497D"/>
          <w:sz w:val="24"/>
          <w:szCs w:val="24"/>
        </w:rPr>
      </w:pPr>
      <w:r w:rsidRPr="00905790">
        <w:rPr>
          <w:rFonts w:asciiTheme="minorHAnsi" w:hAnsiTheme="minorHAnsi" w:cstheme="minorHAnsi"/>
          <w:b/>
          <w:color w:val="1F497D"/>
          <w:sz w:val="24"/>
          <w:szCs w:val="24"/>
        </w:rPr>
        <w:t>a) které byly zadrženy podle § 56 a ve věci má být vedeno řízení podle tohoto nebo zvláštního zákona; pokud není do 1 měsíce od jejich zadržení zahájeno řízení podle tohoto zákona nebo věc není postoupena orgánu oprávněnému vést řízení podle zvláštního zákona, příslušný útvar policie postupuje podle odstavce 8, nebo</w:t>
      </w:r>
    </w:p>
    <w:p w14:paraId="08C85544" w14:textId="77777777" w:rsidR="00905790" w:rsidRPr="00905790" w:rsidRDefault="00905790" w:rsidP="00905790">
      <w:pPr>
        <w:jc w:val="both"/>
        <w:rPr>
          <w:rFonts w:asciiTheme="minorHAnsi" w:hAnsiTheme="minorHAnsi" w:cstheme="minorHAnsi"/>
          <w:b/>
          <w:color w:val="1F497D"/>
          <w:sz w:val="24"/>
          <w:szCs w:val="24"/>
        </w:rPr>
      </w:pPr>
      <w:r w:rsidRPr="00905790">
        <w:rPr>
          <w:rFonts w:asciiTheme="minorHAnsi" w:hAnsiTheme="minorHAnsi" w:cstheme="minorHAnsi"/>
          <w:b/>
          <w:color w:val="1F497D"/>
          <w:sz w:val="24"/>
          <w:szCs w:val="24"/>
        </w:rPr>
        <w:lastRenderedPageBreak/>
        <w:t>b) pokud ze stanoviska nebo informace orgánu veřejné moci vyplývá, že osoba, která s nimi nakládá, představuje vážné nebezpečí pro vnitřní pořádek nebo bezpečnost.“.</w:t>
      </w:r>
    </w:p>
    <w:p w14:paraId="087BBF57" w14:textId="77777777" w:rsidR="00905790" w:rsidRPr="00905790" w:rsidRDefault="00905790" w:rsidP="00905790">
      <w:pPr>
        <w:jc w:val="both"/>
        <w:rPr>
          <w:rFonts w:asciiTheme="minorHAnsi" w:hAnsiTheme="minorHAnsi" w:cstheme="minorHAnsi"/>
          <w:b/>
          <w:color w:val="1F497D"/>
          <w:sz w:val="24"/>
          <w:szCs w:val="24"/>
        </w:rPr>
      </w:pPr>
    </w:p>
    <w:p w14:paraId="49731085" w14:textId="74D0D926" w:rsidR="00905790" w:rsidRPr="00905790" w:rsidRDefault="00905790" w:rsidP="00905790">
      <w:pPr>
        <w:jc w:val="both"/>
        <w:rPr>
          <w:rFonts w:asciiTheme="minorHAnsi" w:hAnsiTheme="minorHAnsi" w:cstheme="minorHAnsi"/>
          <w:b/>
          <w:color w:val="1F497D"/>
          <w:sz w:val="24"/>
          <w:szCs w:val="24"/>
        </w:rPr>
      </w:pPr>
      <w:r w:rsidRPr="00905790">
        <w:rPr>
          <w:rFonts w:asciiTheme="minorHAnsi" w:hAnsiTheme="minorHAnsi" w:cstheme="minorHAnsi"/>
          <w:b/>
          <w:color w:val="1F497D"/>
          <w:sz w:val="24"/>
          <w:szCs w:val="24"/>
        </w:rPr>
        <w:t xml:space="preserve">Návrh je zcela chybný jak po </w:t>
      </w:r>
      <w:proofErr w:type="gramStart"/>
      <w:r w:rsidRPr="00905790">
        <w:rPr>
          <w:rFonts w:asciiTheme="minorHAnsi" w:hAnsiTheme="minorHAnsi" w:cstheme="minorHAnsi"/>
          <w:b/>
          <w:color w:val="1F497D"/>
          <w:sz w:val="24"/>
          <w:szCs w:val="24"/>
        </w:rPr>
        <w:t>právní</w:t>
      </w:r>
      <w:proofErr w:type="gramEnd"/>
      <w:r w:rsidRPr="00905790">
        <w:rPr>
          <w:rFonts w:asciiTheme="minorHAnsi" w:hAnsiTheme="minorHAnsi" w:cstheme="minorHAnsi"/>
          <w:b/>
          <w:color w:val="1F497D"/>
          <w:sz w:val="24"/>
          <w:szCs w:val="24"/>
        </w:rPr>
        <w:t xml:space="preserve"> tak po věcné stránce.   Zajištění zbraně je chápáno jako krátkodobé opatření, které následuje po neodkladném zadržení zbraně (§ 56</w:t>
      </w:r>
      <w:proofErr w:type="gramStart"/>
      <w:r w:rsidRPr="00905790">
        <w:rPr>
          <w:rFonts w:asciiTheme="minorHAnsi" w:hAnsiTheme="minorHAnsi" w:cstheme="minorHAnsi"/>
          <w:b/>
          <w:color w:val="1F497D"/>
          <w:sz w:val="24"/>
          <w:szCs w:val="24"/>
        </w:rPr>
        <w:t>)  z</w:t>
      </w:r>
      <w:proofErr w:type="gramEnd"/>
      <w:r w:rsidRPr="00905790">
        <w:rPr>
          <w:rFonts w:asciiTheme="minorHAnsi" w:hAnsiTheme="minorHAnsi" w:cstheme="minorHAnsi"/>
          <w:b/>
          <w:color w:val="1F497D"/>
          <w:sz w:val="24"/>
          <w:szCs w:val="24"/>
        </w:rPr>
        <w:t xml:space="preserve"> důvodu nějaké akutní hrozby nebo z důvodu reálně  hrozící ztráty podmínek pro právo držitele se zbraní  nakládat (spolehlivost, bezúhonnost, zdravotní způsobilost).  Nově navržené znění odst. </w:t>
      </w:r>
      <w:proofErr w:type="gramStart"/>
      <w:r w:rsidRPr="00905790">
        <w:rPr>
          <w:rFonts w:asciiTheme="minorHAnsi" w:hAnsiTheme="minorHAnsi" w:cstheme="minorHAnsi"/>
          <w:b/>
          <w:color w:val="1F497D"/>
          <w:sz w:val="24"/>
          <w:szCs w:val="24"/>
        </w:rPr>
        <w:t>2,  §</w:t>
      </w:r>
      <w:proofErr w:type="gramEnd"/>
      <w:r w:rsidRPr="00905790">
        <w:rPr>
          <w:rFonts w:asciiTheme="minorHAnsi" w:hAnsiTheme="minorHAnsi" w:cstheme="minorHAnsi"/>
          <w:b/>
          <w:color w:val="1F497D"/>
          <w:sz w:val="24"/>
          <w:szCs w:val="24"/>
        </w:rPr>
        <w:t xml:space="preserve"> 57 pak  umožňuje zajistit policii zbraně a oprávnění na základě údajné "informace či stanoviska" od  "orgánu veřejné moci" (OVM) a to  bez uvedení lhůt a opravných prostředků,  v reálné praxi pokud jde o délku rozhodování soudů na několik let.  Pojem OVM přísluší v ČR asi 12000 subjektů (např. servisní organizace </w:t>
      </w:r>
      <w:proofErr w:type="gramStart"/>
      <w:r w:rsidRPr="00905790">
        <w:rPr>
          <w:rFonts w:asciiTheme="minorHAnsi" w:hAnsiTheme="minorHAnsi" w:cstheme="minorHAnsi"/>
          <w:b/>
          <w:color w:val="1F497D"/>
          <w:sz w:val="24"/>
          <w:szCs w:val="24"/>
        </w:rPr>
        <w:t>škol - jídelny</w:t>
      </w:r>
      <w:proofErr w:type="gramEnd"/>
      <w:r w:rsidRPr="00905790">
        <w:rPr>
          <w:rFonts w:asciiTheme="minorHAnsi" w:hAnsiTheme="minorHAnsi" w:cstheme="minorHAnsi"/>
          <w:b/>
          <w:color w:val="1F497D"/>
          <w:sz w:val="24"/>
          <w:szCs w:val="24"/>
        </w:rPr>
        <w:t>, drážní úřady, notáři, exekutoři, Česká pošta a jiné).   Všechny tyto subjekty by se nově staly "oprávněnými</w:t>
      </w:r>
      <w:proofErr w:type="gramStart"/>
      <w:r w:rsidRPr="00905790">
        <w:rPr>
          <w:rFonts w:asciiTheme="minorHAnsi" w:hAnsiTheme="minorHAnsi" w:cstheme="minorHAnsi"/>
          <w:b/>
          <w:color w:val="1F497D"/>
          <w:sz w:val="24"/>
          <w:szCs w:val="24"/>
        </w:rPr>
        <w:t>"  ve</w:t>
      </w:r>
      <w:proofErr w:type="gramEnd"/>
      <w:r w:rsidRPr="00905790">
        <w:rPr>
          <w:rFonts w:asciiTheme="minorHAnsi" w:hAnsiTheme="minorHAnsi" w:cstheme="minorHAnsi"/>
          <w:b/>
          <w:color w:val="1F497D"/>
          <w:sz w:val="24"/>
          <w:szCs w:val="24"/>
        </w:rPr>
        <w:t xml:space="preserve"> vztahu vznášet na policii požadavek na odzbrojení občana  nebo zničení firmy či podnikatele.   S ohledem na počet a rozmanitost OVM je tento návrh </w:t>
      </w:r>
      <w:proofErr w:type="gramStart"/>
      <w:r w:rsidRPr="00905790">
        <w:rPr>
          <w:rFonts w:asciiTheme="minorHAnsi" w:hAnsiTheme="minorHAnsi" w:cstheme="minorHAnsi"/>
          <w:b/>
          <w:color w:val="1F497D"/>
          <w:sz w:val="24"/>
          <w:szCs w:val="24"/>
        </w:rPr>
        <w:t>zhoubnější  než</w:t>
      </w:r>
      <w:proofErr w:type="gramEnd"/>
      <w:r w:rsidRPr="00905790">
        <w:rPr>
          <w:rFonts w:asciiTheme="minorHAnsi" w:hAnsiTheme="minorHAnsi" w:cstheme="minorHAnsi"/>
          <w:b/>
          <w:color w:val="1F497D"/>
          <w:sz w:val="24"/>
          <w:szCs w:val="24"/>
        </w:rPr>
        <w:t xml:space="preserve"> praxe, která zde byla před rokem 1989, kdy o žádostech občana ve věci zbraní spolurozhodoval "uliční výbor" neboť ten byl pro daného občana pouze jeden. </w:t>
      </w:r>
    </w:p>
    <w:p w14:paraId="5E4D95AE" w14:textId="56B83B89" w:rsidR="00905790" w:rsidRPr="00905790" w:rsidRDefault="00905790" w:rsidP="00905790">
      <w:pPr>
        <w:jc w:val="both"/>
        <w:rPr>
          <w:rFonts w:asciiTheme="minorHAnsi" w:hAnsiTheme="minorHAnsi" w:cstheme="minorHAnsi"/>
          <w:b/>
          <w:color w:val="1F497D"/>
          <w:sz w:val="24"/>
          <w:szCs w:val="24"/>
        </w:rPr>
      </w:pPr>
      <w:r w:rsidRPr="00905790">
        <w:rPr>
          <w:rFonts w:asciiTheme="minorHAnsi" w:hAnsiTheme="minorHAnsi" w:cstheme="minorHAnsi"/>
          <w:b/>
          <w:color w:val="1F497D"/>
          <w:sz w:val="24"/>
          <w:szCs w:val="24"/>
        </w:rPr>
        <w:t>Chce-li mít jakýkoli subjekt možnost odzbrojit prostřednictvím policie libovolného občana, měl by mít odvahu takový návrh předložit sám za sebe a podepsat se pod něj a neukrývat se tak za pojem "OVM". Předkladatel návrhu (MV</w:t>
      </w:r>
      <w:r w:rsidR="004401B4">
        <w:rPr>
          <w:rFonts w:asciiTheme="minorHAnsi" w:hAnsiTheme="minorHAnsi" w:cstheme="minorHAnsi"/>
          <w:b/>
          <w:color w:val="1F497D"/>
          <w:sz w:val="24"/>
          <w:szCs w:val="24"/>
        </w:rPr>
        <w:t xml:space="preserve"> </w:t>
      </w:r>
      <w:r w:rsidRPr="00905790">
        <w:rPr>
          <w:rFonts w:asciiTheme="minorHAnsi" w:hAnsiTheme="minorHAnsi" w:cstheme="minorHAnsi"/>
          <w:b/>
          <w:color w:val="1F497D"/>
          <w:sz w:val="24"/>
          <w:szCs w:val="24"/>
        </w:rPr>
        <w:t xml:space="preserve">ČR) potom ovšem musí dodefinovat pravidla pro ověřování oprávněnosti takových požadavků daného </w:t>
      </w:r>
      <w:proofErr w:type="gramStart"/>
      <w:r w:rsidRPr="00905790">
        <w:rPr>
          <w:rFonts w:asciiTheme="minorHAnsi" w:hAnsiTheme="minorHAnsi" w:cstheme="minorHAnsi"/>
          <w:b/>
          <w:color w:val="1F497D"/>
          <w:sz w:val="24"/>
          <w:szCs w:val="24"/>
        </w:rPr>
        <w:t>subjektu  a</w:t>
      </w:r>
      <w:proofErr w:type="gramEnd"/>
      <w:r w:rsidRPr="00905790">
        <w:rPr>
          <w:rFonts w:asciiTheme="minorHAnsi" w:hAnsiTheme="minorHAnsi" w:cstheme="minorHAnsi"/>
          <w:b/>
          <w:color w:val="1F497D"/>
          <w:sz w:val="24"/>
          <w:szCs w:val="24"/>
        </w:rPr>
        <w:t xml:space="preserve">  opravné prostředky k takovým rozhodnutím včetně stanovení závazných lhůt, aby bylo pokud možno eliminováno zneužívání tohoto institutu (například pro účely konkurenčního boje či osobní msty). Na misku vah při rozhodování o takovém návrhu je třeba dát fakt, že jeho přijetím se v České republice mění podstata pojetí práva na nakládání se zbraněmi z nárokového - po splnění zákonem stanovených podmínek, které zde reálně platí od roku 1990  na nenárokový, kde kromě splnění podmínek bude muset občan nebo firma vyhovovat nikde v zákoně nedefinovaným požadavkům a představám subjektu (subjektů), které budou oprávněny iniciovat u policie spuštění procesu zajištění zbraně a dokladu (oprávnění). </w:t>
      </w:r>
    </w:p>
    <w:p w14:paraId="61742C78" w14:textId="77777777" w:rsidR="00905790" w:rsidRPr="00905790" w:rsidRDefault="00905790" w:rsidP="00905790">
      <w:pPr>
        <w:jc w:val="both"/>
        <w:rPr>
          <w:rFonts w:asciiTheme="minorHAnsi" w:hAnsiTheme="minorHAnsi" w:cstheme="minorHAnsi"/>
          <w:b/>
          <w:color w:val="1F497D"/>
          <w:sz w:val="24"/>
          <w:szCs w:val="24"/>
        </w:rPr>
      </w:pPr>
      <w:r w:rsidRPr="00905790">
        <w:rPr>
          <w:rFonts w:asciiTheme="minorHAnsi" w:hAnsiTheme="minorHAnsi" w:cstheme="minorHAnsi"/>
          <w:b/>
          <w:color w:val="1F497D"/>
          <w:sz w:val="24"/>
          <w:szCs w:val="24"/>
        </w:rPr>
        <w:t xml:space="preserve">I zde je třeba vyzvat předkladatele, aby současně </w:t>
      </w:r>
      <w:proofErr w:type="gramStart"/>
      <w:r w:rsidRPr="00905790">
        <w:rPr>
          <w:rFonts w:asciiTheme="minorHAnsi" w:hAnsiTheme="minorHAnsi" w:cstheme="minorHAnsi"/>
          <w:b/>
          <w:color w:val="1F497D"/>
          <w:sz w:val="24"/>
          <w:szCs w:val="24"/>
        </w:rPr>
        <w:t>zahájil  legislativní</w:t>
      </w:r>
      <w:proofErr w:type="gramEnd"/>
      <w:r w:rsidRPr="00905790">
        <w:rPr>
          <w:rFonts w:asciiTheme="minorHAnsi" w:hAnsiTheme="minorHAnsi" w:cstheme="minorHAnsi"/>
          <w:b/>
          <w:color w:val="1F497D"/>
          <w:sz w:val="24"/>
          <w:szCs w:val="24"/>
        </w:rPr>
        <w:t xml:space="preserve"> proces opravy nového zákona o zbraních a střelivu (</w:t>
      </w:r>
      <w:proofErr w:type="spellStart"/>
      <w:r w:rsidRPr="00905790">
        <w:rPr>
          <w:rFonts w:asciiTheme="minorHAnsi" w:hAnsiTheme="minorHAnsi" w:cstheme="minorHAnsi"/>
          <w:b/>
          <w:color w:val="1F497D"/>
          <w:sz w:val="24"/>
          <w:szCs w:val="24"/>
        </w:rPr>
        <w:t>nZOZ</w:t>
      </w:r>
      <w:proofErr w:type="spellEnd"/>
      <w:r w:rsidRPr="00905790">
        <w:rPr>
          <w:rFonts w:asciiTheme="minorHAnsi" w:hAnsiTheme="minorHAnsi" w:cstheme="minorHAnsi"/>
          <w:b/>
          <w:color w:val="1F497D"/>
          <w:sz w:val="24"/>
          <w:szCs w:val="24"/>
        </w:rPr>
        <w:t xml:space="preserve">), návrh jak text opravit nalezne například v textu pozn. návrhu k tisku 465, poslance Vondráčka. </w:t>
      </w:r>
    </w:p>
    <w:p w14:paraId="40DAE5E3" w14:textId="3344802C" w:rsidR="00905790" w:rsidRPr="00905790" w:rsidRDefault="00905790" w:rsidP="00905790">
      <w:pPr>
        <w:jc w:val="both"/>
        <w:rPr>
          <w:rFonts w:asciiTheme="minorHAnsi" w:hAnsiTheme="minorHAnsi" w:cstheme="minorHAnsi"/>
          <w:b/>
          <w:color w:val="1F497D"/>
          <w:sz w:val="24"/>
          <w:szCs w:val="24"/>
        </w:rPr>
      </w:pPr>
      <w:r w:rsidRPr="00905790">
        <w:rPr>
          <w:rFonts w:asciiTheme="minorHAnsi" w:hAnsiTheme="minorHAnsi" w:cstheme="minorHAnsi"/>
          <w:b/>
          <w:color w:val="1F497D"/>
          <w:sz w:val="24"/>
          <w:szCs w:val="24"/>
        </w:rPr>
        <w:t xml:space="preserve">Připomínáme, že významově se ustanovení k problematice OVM obsažené v </w:t>
      </w:r>
      <w:proofErr w:type="spellStart"/>
      <w:r w:rsidRPr="00905790">
        <w:rPr>
          <w:rFonts w:asciiTheme="minorHAnsi" w:hAnsiTheme="minorHAnsi" w:cstheme="minorHAnsi"/>
          <w:b/>
          <w:color w:val="1F497D"/>
          <w:sz w:val="24"/>
          <w:szCs w:val="24"/>
        </w:rPr>
        <w:t>nZOZ</w:t>
      </w:r>
      <w:proofErr w:type="spellEnd"/>
      <w:r w:rsidRPr="00905790">
        <w:rPr>
          <w:rFonts w:asciiTheme="minorHAnsi" w:hAnsiTheme="minorHAnsi" w:cstheme="minorHAnsi"/>
          <w:b/>
          <w:color w:val="1F497D"/>
          <w:sz w:val="24"/>
          <w:szCs w:val="24"/>
        </w:rPr>
        <w:t xml:space="preserve"> významně </w:t>
      </w:r>
      <w:proofErr w:type="gramStart"/>
      <w:r w:rsidRPr="00905790">
        <w:rPr>
          <w:rFonts w:asciiTheme="minorHAnsi" w:hAnsiTheme="minorHAnsi" w:cstheme="minorHAnsi"/>
          <w:b/>
          <w:color w:val="1F497D"/>
          <w:sz w:val="24"/>
          <w:szCs w:val="24"/>
        </w:rPr>
        <w:t>liší</w:t>
      </w:r>
      <w:proofErr w:type="gramEnd"/>
      <w:r w:rsidRPr="00905790">
        <w:rPr>
          <w:rFonts w:asciiTheme="minorHAnsi" w:hAnsiTheme="minorHAnsi" w:cstheme="minorHAnsi"/>
          <w:b/>
          <w:color w:val="1F497D"/>
          <w:sz w:val="24"/>
          <w:szCs w:val="24"/>
        </w:rPr>
        <w:t xml:space="preserve"> od předloženého návrhu znění </w:t>
      </w:r>
      <w:proofErr w:type="spellStart"/>
      <w:r w:rsidRPr="00905790">
        <w:rPr>
          <w:rFonts w:asciiTheme="minorHAnsi" w:hAnsiTheme="minorHAnsi" w:cstheme="minorHAnsi"/>
          <w:b/>
          <w:color w:val="1F497D"/>
          <w:sz w:val="24"/>
          <w:szCs w:val="24"/>
        </w:rPr>
        <w:t>ust</w:t>
      </w:r>
      <w:proofErr w:type="spellEnd"/>
      <w:r w:rsidRPr="00905790">
        <w:rPr>
          <w:rFonts w:asciiTheme="minorHAnsi" w:hAnsiTheme="minorHAnsi" w:cstheme="minorHAnsi"/>
          <w:b/>
          <w:color w:val="1F497D"/>
          <w:sz w:val="24"/>
          <w:szCs w:val="24"/>
        </w:rPr>
        <w:t xml:space="preserve">. odst. 2, </w:t>
      </w:r>
      <w:proofErr w:type="gramStart"/>
      <w:r w:rsidRPr="00905790">
        <w:rPr>
          <w:rFonts w:asciiTheme="minorHAnsi" w:hAnsiTheme="minorHAnsi" w:cstheme="minorHAnsi"/>
          <w:b/>
          <w:color w:val="1F497D"/>
          <w:sz w:val="24"/>
          <w:szCs w:val="24"/>
        </w:rPr>
        <w:t>§  57</w:t>
      </w:r>
      <w:proofErr w:type="gramEnd"/>
      <w:r w:rsidRPr="00905790">
        <w:rPr>
          <w:rFonts w:asciiTheme="minorHAnsi" w:hAnsiTheme="minorHAnsi" w:cstheme="minorHAnsi"/>
          <w:b/>
          <w:color w:val="1F497D"/>
          <w:sz w:val="24"/>
          <w:szCs w:val="24"/>
        </w:rPr>
        <w:t xml:space="preserve"> a to zahrnutím zbraní kategorie D do jeho textu.  Je otázka, zda se jedná chybný přepis textu nebo záměr, kdy v takovém případě by bylo třeba neprodleně vyvolat ústavně právní diskusi o možných důsledcích takové změny. </w:t>
      </w:r>
    </w:p>
    <w:p w14:paraId="28B21DB1" w14:textId="77777777" w:rsidR="00905790" w:rsidRPr="00226AA4" w:rsidRDefault="00905790" w:rsidP="00905790">
      <w:pPr>
        <w:jc w:val="both"/>
        <w:rPr>
          <w:rFonts w:asciiTheme="minorHAnsi" w:hAnsiTheme="minorHAnsi" w:cstheme="minorHAnsi"/>
          <w:b/>
          <w:color w:val="1F497D"/>
          <w:sz w:val="24"/>
          <w:szCs w:val="24"/>
        </w:rPr>
      </w:pPr>
    </w:p>
    <w:p w14:paraId="5E3534F1" w14:textId="77777777" w:rsidR="004638F6" w:rsidRPr="00226AA4" w:rsidRDefault="004638F6" w:rsidP="00905790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en-GB"/>
        </w:rPr>
      </w:pPr>
    </w:p>
    <w:p w14:paraId="286BEDA2" w14:textId="77777777" w:rsidR="004A79D9" w:rsidRPr="00226AA4" w:rsidRDefault="004A79D9" w:rsidP="00905790">
      <w:pPr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226AA4">
        <w:rPr>
          <w:rFonts w:asciiTheme="minorHAnsi" w:hAnsiTheme="minorHAnsi" w:cstheme="minorHAnsi"/>
          <w:b/>
          <w:sz w:val="24"/>
          <w:szCs w:val="24"/>
          <w:u w:val="single"/>
        </w:rPr>
        <w:t>Kontaktní osoby:</w:t>
      </w:r>
    </w:p>
    <w:p w14:paraId="4F882F33" w14:textId="77777777" w:rsidR="004A79D9" w:rsidRPr="00226AA4" w:rsidRDefault="004A79D9" w:rsidP="00905790">
      <w:pPr>
        <w:shd w:val="clear" w:color="auto" w:fill="FFFFFF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26EE534F" w14:textId="5B82EBDE" w:rsidR="00226AA4" w:rsidRPr="00226AA4" w:rsidRDefault="00226AA4" w:rsidP="00226AA4">
      <w:pPr>
        <w:rPr>
          <w:rFonts w:asciiTheme="minorHAnsi" w:hAnsiTheme="minorHAnsi" w:cstheme="minorHAnsi"/>
          <w:b/>
          <w:color w:val="1F497D"/>
          <w:sz w:val="24"/>
          <w:szCs w:val="24"/>
        </w:rPr>
      </w:pPr>
      <w:r w:rsidRPr="00226AA4">
        <w:rPr>
          <w:rFonts w:asciiTheme="minorHAnsi" w:hAnsiTheme="minorHAnsi" w:cstheme="minorHAnsi"/>
          <w:b/>
          <w:color w:val="1F497D"/>
          <w:sz w:val="24"/>
          <w:szCs w:val="24"/>
        </w:rPr>
        <w:t>Jiří Šebesta</w:t>
      </w:r>
      <w:r w:rsidR="00A50B01">
        <w:rPr>
          <w:rFonts w:asciiTheme="minorHAnsi" w:hAnsiTheme="minorHAnsi" w:cstheme="minorHAnsi"/>
          <w:b/>
          <w:color w:val="1F497D"/>
          <w:sz w:val="24"/>
          <w:szCs w:val="24"/>
        </w:rPr>
        <w:tab/>
      </w:r>
      <w:r w:rsidR="00A50B01">
        <w:rPr>
          <w:rFonts w:asciiTheme="minorHAnsi" w:hAnsiTheme="minorHAnsi" w:cstheme="minorHAnsi"/>
          <w:b/>
          <w:color w:val="1F497D"/>
          <w:sz w:val="24"/>
          <w:szCs w:val="24"/>
        </w:rPr>
        <w:tab/>
      </w:r>
      <w:r w:rsidR="00A50B01">
        <w:rPr>
          <w:rFonts w:asciiTheme="minorHAnsi" w:hAnsiTheme="minorHAnsi" w:cstheme="minorHAnsi"/>
          <w:b/>
          <w:color w:val="1F497D"/>
          <w:sz w:val="24"/>
          <w:szCs w:val="24"/>
        </w:rPr>
        <w:tab/>
        <w:t>e-mail:</w:t>
      </w:r>
      <w:r w:rsidR="00A50B01">
        <w:rPr>
          <w:rFonts w:asciiTheme="minorHAnsi" w:hAnsiTheme="minorHAnsi" w:cstheme="minorHAnsi"/>
          <w:b/>
          <w:color w:val="1F497D"/>
          <w:sz w:val="24"/>
          <w:szCs w:val="24"/>
        </w:rPr>
        <w:tab/>
      </w:r>
      <w:hyperlink r:id="rId12" w:history="1">
        <w:r w:rsidRPr="00226AA4">
          <w:rPr>
            <w:rStyle w:val="Hypertextovodkaz"/>
            <w:rFonts w:asciiTheme="minorHAnsi" w:hAnsiTheme="minorHAnsi" w:cstheme="minorHAnsi"/>
            <w:b/>
            <w:sz w:val="24"/>
            <w:szCs w:val="24"/>
          </w:rPr>
          <w:t>jirisebesta@seznam.cz</w:t>
        </w:r>
      </w:hyperlink>
      <w:r w:rsidR="00A50B01">
        <w:rPr>
          <w:rFonts w:asciiTheme="minorHAnsi" w:hAnsiTheme="minorHAnsi" w:cstheme="minorHAnsi"/>
          <w:b/>
          <w:color w:val="1F497D"/>
          <w:sz w:val="24"/>
          <w:szCs w:val="24"/>
        </w:rPr>
        <w:tab/>
      </w:r>
      <w:r w:rsidR="00A50B01">
        <w:rPr>
          <w:rFonts w:asciiTheme="minorHAnsi" w:hAnsiTheme="minorHAnsi" w:cstheme="minorHAnsi"/>
          <w:b/>
          <w:color w:val="1F497D"/>
          <w:sz w:val="24"/>
          <w:szCs w:val="24"/>
        </w:rPr>
        <w:tab/>
        <w:t>tel:</w:t>
      </w:r>
      <w:r w:rsidR="00A50B01">
        <w:rPr>
          <w:rFonts w:asciiTheme="minorHAnsi" w:hAnsiTheme="minorHAnsi" w:cstheme="minorHAnsi"/>
          <w:b/>
          <w:color w:val="1F497D"/>
          <w:sz w:val="24"/>
          <w:szCs w:val="24"/>
        </w:rPr>
        <w:tab/>
      </w:r>
      <w:r w:rsidR="00EF76C3">
        <w:rPr>
          <w:rFonts w:asciiTheme="minorHAnsi" w:hAnsiTheme="minorHAnsi" w:cstheme="minorHAnsi"/>
          <w:b/>
          <w:color w:val="1F497D"/>
          <w:sz w:val="24"/>
          <w:szCs w:val="24"/>
        </w:rPr>
        <w:t>608 343 828</w:t>
      </w:r>
    </w:p>
    <w:p w14:paraId="0BEE9D28" w14:textId="62DFC1F1" w:rsidR="004A79D9" w:rsidRPr="00226AA4" w:rsidRDefault="004A79D9" w:rsidP="00905790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  <w:b/>
        </w:rPr>
      </w:pPr>
      <w:r w:rsidRPr="00226AA4">
        <w:rPr>
          <w:rFonts w:asciiTheme="minorHAnsi" w:hAnsiTheme="minorHAnsi" w:cstheme="minorHAnsi"/>
          <w:b/>
        </w:rPr>
        <w:t>Dr. Jan Zikeš</w:t>
      </w:r>
      <w:r w:rsidRPr="00226AA4">
        <w:rPr>
          <w:rFonts w:asciiTheme="minorHAnsi" w:hAnsiTheme="minorHAnsi" w:cstheme="minorHAnsi"/>
          <w:b/>
        </w:rPr>
        <w:tab/>
      </w:r>
      <w:r w:rsidRPr="00226AA4">
        <w:rPr>
          <w:rFonts w:asciiTheme="minorHAnsi" w:hAnsiTheme="minorHAnsi" w:cstheme="minorHAnsi"/>
          <w:b/>
        </w:rPr>
        <w:tab/>
      </w:r>
      <w:r w:rsidRPr="00226AA4">
        <w:rPr>
          <w:rFonts w:asciiTheme="minorHAnsi" w:hAnsiTheme="minorHAnsi" w:cstheme="minorHAnsi"/>
          <w:b/>
        </w:rPr>
        <w:tab/>
        <w:t>e-mail:</w:t>
      </w:r>
      <w:r w:rsidRPr="00226AA4">
        <w:rPr>
          <w:rFonts w:asciiTheme="minorHAnsi" w:hAnsiTheme="minorHAnsi" w:cstheme="minorHAnsi"/>
          <w:b/>
        </w:rPr>
        <w:tab/>
      </w:r>
      <w:hyperlink r:id="rId13" w:history="1">
        <w:r w:rsidRPr="00226AA4">
          <w:rPr>
            <w:rStyle w:val="Hypertextovodkaz"/>
            <w:rFonts w:asciiTheme="minorHAnsi" w:hAnsiTheme="minorHAnsi" w:cstheme="minorHAnsi"/>
            <w:b/>
          </w:rPr>
          <w:t>zikes@kzps.cz</w:t>
        </w:r>
      </w:hyperlink>
      <w:r w:rsidRPr="00226AA4">
        <w:rPr>
          <w:rFonts w:asciiTheme="minorHAnsi" w:hAnsiTheme="minorHAnsi" w:cstheme="minorHAnsi"/>
          <w:b/>
        </w:rPr>
        <w:tab/>
      </w:r>
      <w:r w:rsidRPr="00226AA4">
        <w:rPr>
          <w:rFonts w:asciiTheme="minorHAnsi" w:hAnsiTheme="minorHAnsi" w:cstheme="minorHAnsi"/>
          <w:b/>
        </w:rPr>
        <w:tab/>
      </w:r>
      <w:r w:rsidRPr="00226AA4">
        <w:rPr>
          <w:rFonts w:asciiTheme="minorHAnsi" w:hAnsiTheme="minorHAnsi" w:cstheme="minorHAnsi"/>
          <w:b/>
        </w:rPr>
        <w:tab/>
      </w:r>
      <w:r w:rsidRPr="00226AA4">
        <w:rPr>
          <w:rFonts w:asciiTheme="minorHAnsi" w:hAnsiTheme="minorHAnsi" w:cstheme="minorHAnsi"/>
          <w:b/>
        </w:rPr>
        <w:tab/>
        <w:t>tel:</w:t>
      </w:r>
      <w:r w:rsidRPr="00226AA4">
        <w:rPr>
          <w:rFonts w:asciiTheme="minorHAnsi" w:hAnsiTheme="minorHAnsi" w:cstheme="minorHAnsi"/>
          <w:b/>
        </w:rPr>
        <w:tab/>
        <w:t>222 324 985</w:t>
      </w:r>
    </w:p>
    <w:p w14:paraId="646BD78A" w14:textId="77777777" w:rsidR="004A79D9" w:rsidRPr="00226AA4" w:rsidRDefault="004A79D9" w:rsidP="00FC5A7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6FB6E07" w14:textId="7EABC0A4" w:rsidR="00FD1397" w:rsidRPr="00EF76C3" w:rsidRDefault="001D6A49" w:rsidP="00FC5A71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F76C3">
        <w:rPr>
          <w:rFonts w:asciiTheme="minorHAnsi" w:hAnsiTheme="minorHAnsi" w:cstheme="minorHAnsi"/>
          <w:b/>
          <w:bCs/>
          <w:sz w:val="24"/>
          <w:szCs w:val="24"/>
        </w:rPr>
        <w:t>V</w:t>
      </w:r>
      <w:r w:rsidR="009A436D" w:rsidRPr="00EF76C3">
        <w:rPr>
          <w:rFonts w:asciiTheme="minorHAnsi" w:hAnsiTheme="minorHAnsi" w:cstheme="minorHAnsi"/>
          <w:b/>
          <w:bCs/>
          <w:sz w:val="24"/>
          <w:szCs w:val="24"/>
        </w:rPr>
        <w:t> Praze dne</w:t>
      </w:r>
      <w:r w:rsidR="00E140D6" w:rsidRPr="00EF76C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E5D48" w:rsidRPr="00EF76C3">
        <w:rPr>
          <w:rFonts w:asciiTheme="minorHAnsi" w:hAnsiTheme="minorHAnsi" w:cstheme="minorHAnsi"/>
          <w:b/>
          <w:bCs/>
          <w:sz w:val="24"/>
          <w:szCs w:val="24"/>
        </w:rPr>
        <w:t>21</w:t>
      </w:r>
      <w:r w:rsidR="00493344" w:rsidRPr="00EF76C3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4E5D48" w:rsidRPr="00EF76C3">
        <w:rPr>
          <w:rFonts w:asciiTheme="minorHAnsi" w:hAnsiTheme="minorHAnsi" w:cstheme="minorHAnsi"/>
          <w:b/>
          <w:bCs/>
          <w:sz w:val="24"/>
          <w:szCs w:val="24"/>
        </w:rPr>
        <w:t>března</w:t>
      </w:r>
      <w:r w:rsidR="004638F6" w:rsidRPr="00EF76C3">
        <w:rPr>
          <w:rFonts w:asciiTheme="minorHAnsi" w:hAnsiTheme="minorHAnsi" w:cstheme="minorHAnsi"/>
          <w:b/>
          <w:bCs/>
          <w:sz w:val="24"/>
          <w:szCs w:val="24"/>
        </w:rPr>
        <w:t xml:space="preserve"> 2024</w:t>
      </w:r>
    </w:p>
    <w:p w14:paraId="17D45ABF" w14:textId="77777777" w:rsidR="006B4ADA" w:rsidRPr="00FC5A71" w:rsidRDefault="006B4ADA" w:rsidP="00FC5A7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09FEF34" w14:textId="77777777" w:rsidR="006B4ADA" w:rsidRPr="008035CE" w:rsidRDefault="006B4ADA" w:rsidP="006B4ADA">
      <w:pPr>
        <w:jc w:val="right"/>
        <w:rPr>
          <w:rStyle w:val="Siln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8035CE">
        <w:rPr>
          <w:rStyle w:val="Siln"/>
          <w:rFonts w:asciiTheme="minorHAnsi" w:hAnsiTheme="minorHAnsi" w:cstheme="minorHAnsi"/>
          <w:sz w:val="24"/>
          <w:szCs w:val="24"/>
          <w:shd w:val="clear" w:color="auto" w:fill="FFFFFF"/>
        </w:rPr>
        <w:t xml:space="preserve">Ing. Jiří Horecký, Ph.D., </w:t>
      </w:r>
      <w:proofErr w:type="spellStart"/>
      <w:r w:rsidRPr="008035CE">
        <w:rPr>
          <w:rStyle w:val="Siln"/>
          <w:rFonts w:asciiTheme="minorHAnsi" w:hAnsiTheme="minorHAnsi" w:cstheme="minorHAnsi"/>
          <w:sz w:val="24"/>
          <w:szCs w:val="24"/>
          <w:shd w:val="clear" w:color="auto" w:fill="FFFFFF"/>
        </w:rPr>
        <w:t>MSc</w:t>
      </w:r>
      <w:proofErr w:type="spellEnd"/>
      <w:r w:rsidRPr="008035CE">
        <w:rPr>
          <w:rStyle w:val="Siln"/>
          <w:rFonts w:asciiTheme="minorHAnsi" w:hAnsiTheme="minorHAnsi" w:cstheme="minorHAnsi"/>
          <w:sz w:val="24"/>
          <w:szCs w:val="24"/>
          <w:shd w:val="clear" w:color="auto" w:fill="FFFFFF"/>
        </w:rPr>
        <w:t>., MBA</w:t>
      </w:r>
    </w:p>
    <w:p w14:paraId="163A4284" w14:textId="01475DC8" w:rsidR="00F129FE" w:rsidRPr="00EF76C3" w:rsidRDefault="006B4ADA" w:rsidP="00EF76C3">
      <w:pPr>
        <w:ind w:left="637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p 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r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z</w:t>
      </w:r>
      <w:r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i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d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n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t</w:t>
      </w:r>
    </w:p>
    <w:sectPr w:rsidR="00F129FE" w:rsidRPr="00EF76C3" w:rsidSect="00372CA3">
      <w:headerReference w:type="even" r:id="rId14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1CEC3" w14:textId="77777777" w:rsidR="00372CA3" w:rsidRDefault="00372CA3">
      <w:r>
        <w:separator/>
      </w:r>
    </w:p>
    <w:p w14:paraId="5BA5F172" w14:textId="77777777" w:rsidR="00372CA3" w:rsidRDefault="00372CA3"/>
  </w:endnote>
  <w:endnote w:type="continuationSeparator" w:id="0">
    <w:p w14:paraId="2DE118B3" w14:textId="77777777" w:rsidR="00372CA3" w:rsidRDefault="00372CA3">
      <w:r>
        <w:continuationSeparator/>
      </w:r>
    </w:p>
    <w:p w14:paraId="2F7D5EB9" w14:textId="77777777" w:rsidR="00372CA3" w:rsidRDefault="00372C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4E69B" w14:textId="77777777" w:rsidR="00372CA3" w:rsidRDefault="00372CA3">
      <w:r>
        <w:separator/>
      </w:r>
    </w:p>
    <w:p w14:paraId="656F9C14" w14:textId="77777777" w:rsidR="00372CA3" w:rsidRDefault="00372CA3"/>
  </w:footnote>
  <w:footnote w:type="continuationSeparator" w:id="0">
    <w:p w14:paraId="39436991" w14:textId="77777777" w:rsidR="00372CA3" w:rsidRDefault="00372CA3">
      <w:r>
        <w:continuationSeparator/>
      </w:r>
    </w:p>
    <w:p w14:paraId="6A35B5EA" w14:textId="77777777" w:rsidR="00372CA3" w:rsidRDefault="00372C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B4532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6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05A0A"/>
    <w:multiLevelType w:val="hybridMultilevel"/>
    <w:tmpl w:val="A6C2F1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15186">
    <w:abstractNumId w:val="15"/>
  </w:num>
  <w:num w:numId="2" w16cid:durableId="13779664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3080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17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128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780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8686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234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5539496">
    <w:abstractNumId w:val="18"/>
  </w:num>
  <w:num w:numId="10" w16cid:durableId="2798403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737433">
    <w:abstractNumId w:val="8"/>
  </w:num>
  <w:num w:numId="12" w16cid:durableId="13273685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4002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558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0685149">
    <w:abstractNumId w:val="11"/>
  </w:num>
  <w:num w:numId="16" w16cid:durableId="4221836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7210723">
    <w:abstractNumId w:val="17"/>
  </w:num>
  <w:num w:numId="18" w16cid:durableId="1112893411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16FB"/>
    <w:rsid w:val="00032B96"/>
    <w:rsid w:val="0003614B"/>
    <w:rsid w:val="00042DCF"/>
    <w:rsid w:val="00045C43"/>
    <w:rsid w:val="00053079"/>
    <w:rsid w:val="000741DD"/>
    <w:rsid w:val="0007717A"/>
    <w:rsid w:val="00090C74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5B67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61CD9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C6B4A"/>
    <w:rsid w:val="001D0785"/>
    <w:rsid w:val="001D33FE"/>
    <w:rsid w:val="001D6A49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26AA4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72CA3"/>
    <w:rsid w:val="00387603"/>
    <w:rsid w:val="00387C79"/>
    <w:rsid w:val="00390A36"/>
    <w:rsid w:val="00391D1E"/>
    <w:rsid w:val="00395E68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D50E1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1B4"/>
    <w:rsid w:val="0044077B"/>
    <w:rsid w:val="00446C89"/>
    <w:rsid w:val="00455126"/>
    <w:rsid w:val="00456CEA"/>
    <w:rsid w:val="00462D24"/>
    <w:rsid w:val="00462E34"/>
    <w:rsid w:val="004638F6"/>
    <w:rsid w:val="00464240"/>
    <w:rsid w:val="0046655B"/>
    <w:rsid w:val="004715AB"/>
    <w:rsid w:val="004764D4"/>
    <w:rsid w:val="004832B7"/>
    <w:rsid w:val="00492FB2"/>
    <w:rsid w:val="00493344"/>
    <w:rsid w:val="00494E51"/>
    <w:rsid w:val="004A05A0"/>
    <w:rsid w:val="004A483A"/>
    <w:rsid w:val="004A6E27"/>
    <w:rsid w:val="004A79D9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E5D48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4E1B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3860"/>
    <w:rsid w:val="005B4202"/>
    <w:rsid w:val="005B65BE"/>
    <w:rsid w:val="005C082D"/>
    <w:rsid w:val="005C0EFA"/>
    <w:rsid w:val="005C2E27"/>
    <w:rsid w:val="005C3D7C"/>
    <w:rsid w:val="005C5E3C"/>
    <w:rsid w:val="005D3110"/>
    <w:rsid w:val="005D52A8"/>
    <w:rsid w:val="005D7AE8"/>
    <w:rsid w:val="005E4BBB"/>
    <w:rsid w:val="00614BB3"/>
    <w:rsid w:val="006266A6"/>
    <w:rsid w:val="0062766A"/>
    <w:rsid w:val="00637B43"/>
    <w:rsid w:val="0064259D"/>
    <w:rsid w:val="00645A4F"/>
    <w:rsid w:val="006470A5"/>
    <w:rsid w:val="006473BE"/>
    <w:rsid w:val="00651C7A"/>
    <w:rsid w:val="00652FEB"/>
    <w:rsid w:val="0065329E"/>
    <w:rsid w:val="006609DD"/>
    <w:rsid w:val="006640F5"/>
    <w:rsid w:val="00664355"/>
    <w:rsid w:val="0067540D"/>
    <w:rsid w:val="006767B1"/>
    <w:rsid w:val="00677B7E"/>
    <w:rsid w:val="00680FD8"/>
    <w:rsid w:val="006826E0"/>
    <w:rsid w:val="00682D25"/>
    <w:rsid w:val="0068360D"/>
    <w:rsid w:val="006906BB"/>
    <w:rsid w:val="00690E0A"/>
    <w:rsid w:val="00693A42"/>
    <w:rsid w:val="006A2DCA"/>
    <w:rsid w:val="006A7010"/>
    <w:rsid w:val="006B1D7D"/>
    <w:rsid w:val="006B4ADA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1651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C6E49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3B66"/>
    <w:rsid w:val="00844379"/>
    <w:rsid w:val="0085153A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098C"/>
    <w:rsid w:val="008A12E1"/>
    <w:rsid w:val="008A57BB"/>
    <w:rsid w:val="008A738B"/>
    <w:rsid w:val="008B070D"/>
    <w:rsid w:val="008B4288"/>
    <w:rsid w:val="008B4AE7"/>
    <w:rsid w:val="008C1B6B"/>
    <w:rsid w:val="008D20DF"/>
    <w:rsid w:val="008D768F"/>
    <w:rsid w:val="008E0820"/>
    <w:rsid w:val="008E4725"/>
    <w:rsid w:val="008E5CB3"/>
    <w:rsid w:val="008F5E2E"/>
    <w:rsid w:val="00905790"/>
    <w:rsid w:val="009106AD"/>
    <w:rsid w:val="00914C43"/>
    <w:rsid w:val="00922869"/>
    <w:rsid w:val="009242E1"/>
    <w:rsid w:val="009359CA"/>
    <w:rsid w:val="0093649E"/>
    <w:rsid w:val="00940161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846A5"/>
    <w:rsid w:val="00994DDC"/>
    <w:rsid w:val="009A038F"/>
    <w:rsid w:val="009A436D"/>
    <w:rsid w:val="009A4727"/>
    <w:rsid w:val="009B09CD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0B01"/>
    <w:rsid w:val="00A52797"/>
    <w:rsid w:val="00A548AD"/>
    <w:rsid w:val="00A56332"/>
    <w:rsid w:val="00A61DCD"/>
    <w:rsid w:val="00A839D6"/>
    <w:rsid w:val="00A85A7F"/>
    <w:rsid w:val="00A86870"/>
    <w:rsid w:val="00A87441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47F9"/>
    <w:rsid w:val="00B07A5B"/>
    <w:rsid w:val="00B141EA"/>
    <w:rsid w:val="00B1455D"/>
    <w:rsid w:val="00B16608"/>
    <w:rsid w:val="00B17C0F"/>
    <w:rsid w:val="00B24F35"/>
    <w:rsid w:val="00B32A6C"/>
    <w:rsid w:val="00B36FC5"/>
    <w:rsid w:val="00B40794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97C64"/>
    <w:rsid w:val="00BA20A6"/>
    <w:rsid w:val="00BA33A0"/>
    <w:rsid w:val="00BA5DB5"/>
    <w:rsid w:val="00BC0BCC"/>
    <w:rsid w:val="00BC2903"/>
    <w:rsid w:val="00BD00B6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4501A"/>
    <w:rsid w:val="00C468A8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3AB9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0ED5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E50A3"/>
    <w:rsid w:val="00DF1305"/>
    <w:rsid w:val="00DF62FE"/>
    <w:rsid w:val="00DF6DAA"/>
    <w:rsid w:val="00E01B60"/>
    <w:rsid w:val="00E02947"/>
    <w:rsid w:val="00E140D6"/>
    <w:rsid w:val="00E16ED7"/>
    <w:rsid w:val="00E25EB3"/>
    <w:rsid w:val="00E307C6"/>
    <w:rsid w:val="00E30833"/>
    <w:rsid w:val="00E3258B"/>
    <w:rsid w:val="00E33816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1D09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EF76C3"/>
    <w:rsid w:val="00F010E1"/>
    <w:rsid w:val="00F129FE"/>
    <w:rsid w:val="00F13A1B"/>
    <w:rsid w:val="00F17B4A"/>
    <w:rsid w:val="00F23D49"/>
    <w:rsid w:val="00F25614"/>
    <w:rsid w:val="00F34377"/>
    <w:rsid w:val="00F34A1F"/>
    <w:rsid w:val="00F34C96"/>
    <w:rsid w:val="00F37A24"/>
    <w:rsid w:val="00F42A36"/>
    <w:rsid w:val="00F46765"/>
    <w:rsid w:val="00F47719"/>
    <w:rsid w:val="00F50070"/>
    <w:rsid w:val="00F52A7E"/>
    <w:rsid w:val="00F52BC5"/>
    <w:rsid w:val="00F567C2"/>
    <w:rsid w:val="00F6207A"/>
    <w:rsid w:val="00F645E4"/>
    <w:rsid w:val="00F65F6F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5A7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zikes@kzp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irisebesta@seznam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zps@kzps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2B225-4836-426B-8291-57D20832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1365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9328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75</cp:revision>
  <cp:lastPrinted>2016-10-12T10:41:00Z</cp:lastPrinted>
  <dcterms:created xsi:type="dcterms:W3CDTF">2020-07-21T13:09:00Z</dcterms:created>
  <dcterms:modified xsi:type="dcterms:W3CDTF">2024-03-21T14:40:00Z</dcterms:modified>
</cp:coreProperties>
</file>